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5000" w:type="pct"/>
        <w:tblBorders>
          <w:top w:val="single" w:sz="18" w:space="0" w:color="auto"/>
          <w:left w:val="single" w:sz="18" w:space="0" w:color="auto"/>
          <w:bottom w:val="single" w:sz="18" w:space="0" w:color="auto"/>
          <w:right w:val="single" w:sz="18" w:space="0" w:color="auto"/>
        </w:tblBorders>
        <w:tblCellMar>
          <w:top w:w="108" w:type="dxa"/>
          <w:bottom w:w="108" w:type="dxa"/>
        </w:tblCellMar>
        <w:tblLook w:val="04A0" w:firstRow="1" w:lastRow="0" w:firstColumn="1" w:lastColumn="0" w:noHBand="0" w:noVBand="1"/>
      </w:tblPr>
      <w:tblGrid>
        <w:gridCol w:w="2529"/>
        <w:gridCol w:w="6497"/>
      </w:tblGrid>
      <w:tr w:rsidR="00FD4988" w:rsidRPr="00FD4988" w14:paraId="1CF3B262" w14:textId="77777777" w:rsidTr="007257E3">
        <w:trPr>
          <w:cantSplit/>
          <w:trHeight w:val="567"/>
        </w:trPr>
        <w:tc>
          <w:tcPr>
            <w:tcW w:w="1401" w:type="pct"/>
            <w:tcBorders>
              <w:top w:val="single" w:sz="18" w:space="0" w:color="auto"/>
              <w:bottom w:val="single" w:sz="4" w:space="0" w:color="000000"/>
            </w:tcBorders>
            <w:shd w:val="clear" w:color="auto" w:fill="D4E1CA" w:themeFill="accent4"/>
            <w:vAlign w:val="center"/>
          </w:tcPr>
          <w:p w14:paraId="774929F5" w14:textId="77777777" w:rsidR="00FD4988" w:rsidRPr="00FD4988" w:rsidRDefault="00FD4988" w:rsidP="0004534C">
            <w:pPr>
              <w:jc w:val="left"/>
              <w:rPr>
                <w:rFonts w:cs="Arial"/>
                <w:b/>
                <w:bCs/>
                <w:sz w:val="22"/>
                <w:szCs w:val="22"/>
              </w:rPr>
            </w:pPr>
            <w:r w:rsidRPr="00FD4988">
              <w:rPr>
                <w:rFonts w:cs="Arial"/>
                <w:b/>
                <w:bCs/>
                <w:sz w:val="22"/>
                <w:szCs w:val="22"/>
              </w:rPr>
              <w:t>Graad</w:t>
            </w:r>
          </w:p>
        </w:tc>
        <w:tc>
          <w:tcPr>
            <w:tcW w:w="3599" w:type="pct"/>
            <w:tcBorders>
              <w:top w:val="single" w:sz="18" w:space="0" w:color="auto"/>
              <w:bottom w:val="single" w:sz="4" w:space="0" w:color="000000"/>
            </w:tcBorders>
            <w:vAlign w:val="center"/>
          </w:tcPr>
          <w:p w14:paraId="4CDB87C0" w14:textId="77777777" w:rsidR="00FD4988" w:rsidRPr="00FD4988" w:rsidRDefault="00FD4988" w:rsidP="0004534C">
            <w:pPr>
              <w:jc w:val="left"/>
              <w:rPr>
                <w:rFonts w:cs="Arial"/>
                <w:sz w:val="22"/>
                <w:szCs w:val="22"/>
              </w:rPr>
            </w:pPr>
            <w:r w:rsidRPr="00FD4988">
              <w:rPr>
                <w:rFonts w:cs="Arial"/>
                <w:sz w:val="22"/>
                <w:szCs w:val="22"/>
                <w:shd w:val="clear" w:color="auto" w:fill="D4E1CA" w:themeFill="accent4"/>
              </w:rPr>
              <w:t>eerste graad</w:t>
            </w:r>
            <w:r w:rsidRPr="00FD4988">
              <w:rPr>
                <w:rFonts w:cs="Arial"/>
                <w:sz w:val="22"/>
                <w:szCs w:val="22"/>
              </w:rPr>
              <w:t xml:space="preserve"> – tweede graad – derde graad</w:t>
            </w:r>
          </w:p>
        </w:tc>
      </w:tr>
      <w:tr w:rsidR="00FD4988" w:rsidRPr="00FD4988" w14:paraId="4F64F511" w14:textId="77777777" w:rsidTr="007257E3">
        <w:trPr>
          <w:cantSplit/>
          <w:trHeight w:val="567"/>
        </w:trPr>
        <w:tc>
          <w:tcPr>
            <w:tcW w:w="1401" w:type="pct"/>
            <w:tcBorders>
              <w:top w:val="single" w:sz="4" w:space="0" w:color="000000"/>
              <w:bottom w:val="single" w:sz="4" w:space="0" w:color="000000"/>
            </w:tcBorders>
            <w:shd w:val="clear" w:color="auto" w:fill="D4E1CA" w:themeFill="accent4"/>
            <w:vAlign w:val="center"/>
          </w:tcPr>
          <w:p w14:paraId="4C0F2714" w14:textId="77777777" w:rsidR="00FD4988" w:rsidRPr="00FD4988" w:rsidRDefault="00FD4988" w:rsidP="0004534C">
            <w:pPr>
              <w:jc w:val="left"/>
              <w:rPr>
                <w:rFonts w:cs="Arial"/>
                <w:b/>
                <w:bCs/>
                <w:sz w:val="22"/>
                <w:szCs w:val="22"/>
              </w:rPr>
            </w:pPr>
            <w:r w:rsidRPr="00FD4988">
              <w:rPr>
                <w:rFonts w:cs="Arial"/>
                <w:b/>
                <w:bCs/>
                <w:sz w:val="22"/>
                <w:szCs w:val="22"/>
              </w:rPr>
              <w:t>Stroom/finaliteit</w:t>
            </w:r>
          </w:p>
        </w:tc>
        <w:tc>
          <w:tcPr>
            <w:tcW w:w="3599" w:type="pct"/>
            <w:tcBorders>
              <w:top w:val="single" w:sz="4" w:space="0" w:color="000000"/>
              <w:bottom w:val="single" w:sz="4" w:space="0" w:color="000000"/>
            </w:tcBorders>
            <w:vAlign w:val="center"/>
          </w:tcPr>
          <w:p w14:paraId="7C5AFD0F" w14:textId="77777777" w:rsidR="00FD4988" w:rsidRPr="00FD4988" w:rsidRDefault="00FD4988" w:rsidP="0004534C">
            <w:pPr>
              <w:rPr>
                <w:rFonts w:cs="Arial"/>
                <w:sz w:val="22"/>
                <w:szCs w:val="22"/>
              </w:rPr>
            </w:pPr>
            <w:r w:rsidRPr="00FD4988">
              <w:rPr>
                <w:rFonts w:cs="Arial"/>
                <w:sz w:val="22"/>
                <w:szCs w:val="22"/>
                <w:shd w:val="clear" w:color="auto" w:fill="D4E1CA" w:themeFill="accent4"/>
              </w:rPr>
              <w:t>A-stroom</w:t>
            </w:r>
            <w:r w:rsidRPr="00FD4988">
              <w:rPr>
                <w:rFonts w:cs="Arial"/>
                <w:sz w:val="22"/>
                <w:szCs w:val="22"/>
              </w:rPr>
              <w:t xml:space="preserve"> – B-stroom</w:t>
            </w:r>
          </w:p>
          <w:p w14:paraId="49AB1DA3" w14:textId="77777777" w:rsidR="00FD4988" w:rsidRPr="00FD4988" w:rsidRDefault="00FD4988" w:rsidP="0004534C">
            <w:pPr>
              <w:rPr>
                <w:rFonts w:cs="Arial"/>
                <w:sz w:val="22"/>
                <w:szCs w:val="22"/>
              </w:rPr>
            </w:pPr>
          </w:p>
          <w:p w14:paraId="449CD35A" w14:textId="77777777" w:rsidR="00FD4988" w:rsidRPr="00FD4988" w:rsidRDefault="00FD4988" w:rsidP="0004534C">
            <w:pPr>
              <w:jc w:val="left"/>
              <w:rPr>
                <w:rFonts w:cs="Arial"/>
                <w:sz w:val="22"/>
                <w:szCs w:val="22"/>
              </w:rPr>
            </w:pPr>
            <w:r w:rsidRPr="00FD4988">
              <w:rPr>
                <w:rFonts w:cs="Arial"/>
                <w:sz w:val="22"/>
                <w:szCs w:val="22"/>
              </w:rPr>
              <w:t>doorstroomfinaliteit – dubbele finaliteit - arbeidsmarktfinaliteit</w:t>
            </w:r>
          </w:p>
        </w:tc>
      </w:tr>
      <w:tr w:rsidR="00FD4988" w:rsidRPr="00FD4988" w14:paraId="3874D05D" w14:textId="77777777" w:rsidTr="007257E3">
        <w:trPr>
          <w:cantSplit/>
          <w:trHeight w:val="567"/>
        </w:trPr>
        <w:tc>
          <w:tcPr>
            <w:tcW w:w="1401" w:type="pct"/>
            <w:tcBorders>
              <w:top w:val="single" w:sz="4" w:space="0" w:color="000000"/>
              <w:bottom w:val="single" w:sz="18" w:space="0" w:color="auto"/>
            </w:tcBorders>
            <w:shd w:val="clear" w:color="auto" w:fill="D4E1CA" w:themeFill="accent4"/>
            <w:vAlign w:val="center"/>
          </w:tcPr>
          <w:p w14:paraId="6F1A710D" w14:textId="77777777" w:rsidR="00FD4988" w:rsidRPr="00FD4988" w:rsidRDefault="00FD4988" w:rsidP="0004534C">
            <w:pPr>
              <w:jc w:val="left"/>
              <w:rPr>
                <w:rFonts w:cs="Arial"/>
                <w:b/>
                <w:bCs/>
                <w:sz w:val="22"/>
                <w:szCs w:val="22"/>
              </w:rPr>
            </w:pPr>
            <w:r w:rsidRPr="00FD4988">
              <w:rPr>
                <w:rFonts w:cs="Arial"/>
                <w:b/>
                <w:bCs/>
                <w:sz w:val="22"/>
                <w:szCs w:val="22"/>
              </w:rPr>
              <w:t>Studierichting</w:t>
            </w:r>
          </w:p>
        </w:tc>
        <w:tc>
          <w:tcPr>
            <w:tcW w:w="3599" w:type="pct"/>
            <w:tcBorders>
              <w:top w:val="single" w:sz="4" w:space="0" w:color="000000"/>
              <w:bottom w:val="single" w:sz="18" w:space="0" w:color="auto"/>
            </w:tcBorders>
            <w:vAlign w:val="center"/>
          </w:tcPr>
          <w:p w14:paraId="647004CB" w14:textId="77777777" w:rsidR="00FD4988" w:rsidRPr="00FD4988" w:rsidRDefault="00FD4988" w:rsidP="0004534C">
            <w:pPr>
              <w:jc w:val="left"/>
              <w:rPr>
                <w:rFonts w:cs="Arial"/>
                <w:sz w:val="22"/>
                <w:szCs w:val="22"/>
              </w:rPr>
            </w:pPr>
            <w:r w:rsidRPr="00FD4988">
              <w:rPr>
                <w:rFonts w:cs="Arial"/>
                <w:sz w:val="22"/>
                <w:szCs w:val="22"/>
              </w:rPr>
              <w:t>Latijn</w:t>
            </w:r>
          </w:p>
        </w:tc>
      </w:tr>
      <w:tr w:rsidR="00FD4988" w:rsidRPr="00FD4988" w14:paraId="0AB34940" w14:textId="77777777" w:rsidTr="007257E3">
        <w:trPr>
          <w:cantSplit/>
          <w:trHeight w:val="567"/>
        </w:trPr>
        <w:tc>
          <w:tcPr>
            <w:tcW w:w="1401" w:type="pct"/>
            <w:tcBorders>
              <w:top w:val="single" w:sz="18" w:space="0" w:color="auto"/>
              <w:bottom w:val="single" w:sz="4" w:space="0" w:color="000000"/>
            </w:tcBorders>
            <w:shd w:val="clear" w:color="auto" w:fill="D4E1CA" w:themeFill="accent4"/>
            <w:vAlign w:val="center"/>
          </w:tcPr>
          <w:p w14:paraId="746A59D9" w14:textId="77777777" w:rsidR="00FD4988" w:rsidRPr="00FD4988" w:rsidRDefault="00FD4988" w:rsidP="0004534C">
            <w:pPr>
              <w:jc w:val="left"/>
              <w:rPr>
                <w:rFonts w:cs="Arial"/>
                <w:b/>
                <w:bCs/>
                <w:sz w:val="22"/>
                <w:szCs w:val="22"/>
              </w:rPr>
            </w:pPr>
            <w:r w:rsidRPr="00FD4988">
              <w:rPr>
                <w:rFonts w:cs="Arial"/>
                <w:b/>
                <w:bCs/>
                <w:sz w:val="22"/>
                <w:szCs w:val="22"/>
              </w:rPr>
              <w:t>Vak</w:t>
            </w:r>
          </w:p>
        </w:tc>
        <w:tc>
          <w:tcPr>
            <w:tcW w:w="3599" w:type="pct"/>
            <w:tcBorders>
              <w:top w:val="single" w:sz="18" w:space="0" w:color="auto"/>
              <w:bottom w:val="single" w:sz="4" w:space="0" w:color="000000"/>
            </w:tcBorders>
            <w:vAlign w:val="center"/>
          </w:tcPr>
          <w:p w14:paraId="2F05C069" w14:textId="77777777" w:rsidR="00FD4988" w:rsidRPr="00FD4988" w:rsidRDefault="00FD4988" w:rsidP="0004534C">
            <w:pPr>
              <w:jc w:val="left"/>
              <w:rPr>
                <w:rFonts w:cs="Arial"/>
                <w:sz w:val="22"/>
                <w:szCs w:val="22"/>
              </w:rPr>
            </w:pPr>
            <w:r w:rsidRPr="00FD4988">
              <w:rPr>
                <w:rFonts w:cs="Arial"/>
                <w:sz w:val="22"/>
                <w:szCs w:val="22"/>
              </w:rPr>
              <w:t>Wiskunde</w:t>
            </w:r>
          </w:p>
        </w:tc>
      </w:tr>
      <w:tr w:rsidR="00FD4988" w:rsidRPr="00FD4988" w14:paraId="24E1870E" w14:textId="77777777" w:rsidTr="007257E3">
        <w:trPr>
          <w:cantSplit/>
          <w:trHeight w:val="567"/>
        </w:trPr>
        <w:tc>
          <w:tcPr>
            <w:tcW w:w="1401" w:type="pct"/>
            <w:tcBorders>
              <w:top w:val="single" w:sz="4" w:space="0" w:color="000000"/>
              <w:bottom w:val="single" w:sz="4" w:space="0" w:color="000000"/>
            </w:tcBorders>
            <w:shd w:val="clear" w:color="auto" w:fill="D4E1CA" w:themeFill="accent4"/>
            <w:vAlign w:val="center"/>
          </w:tcPr>
          <w:p w14:paraId="1B0DCC35" w14:textId="77777777" w:rsidR="00FD4988" w:rsidRPr="00FD4988" w:rsidRDefault="00FD4988" w:rsidP="0004534C">
            <w:pPr>
              <w:jc w:val="left"/>
              <w:rPr>
                <w:rFonts w:cs="Arial"/>
                <w:b/>
                <w:bCs/>
                <w:sz w:val="22"/>
                <w:szCs w:val="22"/>
              </w:rPr>
            </w:pPr>
            <w:r w:rsidRPr="00FD4988">
              <w:rPr>
                <w:rFonts w:cs="Arial"/>
                <w:b/>
                <w:bCs/>
                <w:sz w:val="22"/>
                <w:szCs w:val="22"/>
              </w:rPr>
              <w:t>Lesonderwerp</w:t>
            </w:r>
          </w:p>
        </w:tc>
        <w:tc>
          <w:tcPr>
            <w:tcW w:w="3599" w:type="pct"/>
            <w:tcBorders>
              <w:top w:val="single" w:sz="4" w:space="0" w:color="000000"/>
              <w:bottom w:val="single" w:sz="4" w:space="0" w:color="000000"/>
            </w:tcBorders>
            <w:vAlign w:val="center"/>
          </w:tcPr>
          <w:p w14:paraId="7B5FCA51" w14:textId="77777777" w:rsidR="00FD4988" w:rsidRPr="00FD4988" w:rsidRDefault="00FD4988" w:rsidP="0004534C">
            <w:pPr>
              <w:jc w:val="left"/>
              <w:rPr>
                <w:rFonts w:cs="Arial"/>
                <w:sz w:val="22"/>
                <w:szCs w:val="22"/>
              </w:rPr>
            </w:pPr>
            <w:r w:rsidRPr="00FD4988">
              <w:rPr>
                <w:rFonts w:cs="Arial"/>
                <w:sz w:val="22"/>
                <w:szCs w:val="22"/>
              </w:rPr>
              <w:t>Algebraïsch rekenen – merkwaardige producten</w:t>
            </w:r>
          </w:p>
        </w:tc>
      </w:tr>
      <w:tr w:rsidR="00FD4988" w:rsidRPr="00FD4988" w14:paraId="75004E1E" w14:textId="77777777" w:rsidTr="007257E3">
        <w:trPr>
          <w:cantSplit/>
          <w:trHeight w:val="567"/>
        </w:trPr>
        <w:tc>
          <w:tcPr>
            <w:tcW w:w="1401" w:type="pct"/>
            <w:tcBorders>
              <w:top w:val="single" w:sz="4" w:space="0" w:color="000000"/>
              <w:bottom w:val="single" w:sz="4" w:space="0" w:color="000000"/>
            </w:tcBorders>
            <w:shd w:val="clear" w:color="auto" w:fill="D4E1CA" w:themeFill="accent4"/>
            <w:vAlign w:val="center"/>
          </w:tcPr>
          <w:p w14:paraId="7B06E0D9" w14:textId="77777777" w:rsidR="00FD4988" w:rsidRPr="00FD4988" w:rsidRDefault="00FD4988" w:rsidP="0004534C">
            <w:pPr>
              <w:jc w:val="left"/>
              <w:rPr>
                <w:rFonts w:cs="Arial"/>
                <w:b/>
                <w:bCs/>
                <w:sz w:val="22"/>
                <w:szCs w:val="22"/>
              </w:rPr>
            </w:pPr>
            <w:r w:rsidRPr="00FD4988">
              <w:rPr>
                <w:rFonts w:cs="Arial"/>
                <w:b/>
                <w:bCs/>
                <w:sz w:val="22"/>
                <w:szCs w:val="22"/>
              </w:rPr>
              <w:t>Minimumdoelen</w:t>
            </w:r>
          </w:p>
        </w:tc>
        <w:tc>
          <w:tcPr>
            <w:tcW w:w="3599" w:type="pct"/>
            <w:tcBorders>
              <w:top w:val="single" w:sz="4" w:space="0" w:color="000000"/>
              <w:bottom w:val="single" w:sz="4" w:space="0" w:color="000000"/>
            </w:tcBorders>
            <w:vAlign w:val="center"/>
          </w:tcPr>
          <w:p w14:paraId="51ECF0F2" w14:textId="77777777" w:rsidR="00FD4988" w:rsidRPr="00FD4988" w:rsidRDefault="00FD4988" w:rsidP="0004534C">
            <w:pPr>
              <w:jc w:val="left"/>
              <w:rPr>
                <w:rFonts w:cs="Arial"/>
                <w:sz w:val="22"/>
                <w:szCs w:val="22"/>
              </w:rPr>
            </w:pPr>
            <w:r w:rsidRPr="00FD4988">
              <w:rPr>
                <w:rFonts w:cs="Arial"/>
                <w:sz w:val="22"/>
                <w:szCs w:val="22"/>
              </w:rPr>
              <w:t>SC 6 Competenties inzake wiskunde, exacte wetenschappen en technologie</w:t>
            </w:r>
          </w:p>
          <w:p w14:paraId="09E46788" w14:textId="77777777" w:rsidR="00FD4988" w:rsidRPr="00FD4988" w:rsidRDefault="00FD4988" w:rsidP="0004534C">
            <w:pPr>
              <w:jc w:val="left"/>
              <w:rPr>
                <w:rFonts w:cs="Arial"/>
                <w:sz w:val="22"/>
                <w:szCs w:val="22"/>
              </w:rPr>
            </w:pPr>
          </w:p>
          <w:p w14:paraId="1A648A4D" w14:textId="77777777" w:rsidR="00FD4988" w:rsidRPr="00FD4988" w:rsidRDefault="00FD4988" w:rsidP="0004534C">
            <w:pPr>
              <w:jc w:val="left"/>
              <w:rPr>
                <w:rFonts w:cs="Arial"/>
                <w:sz w:val="22"/>
                <w:szCs w:val="22"/>
              </w:rPr>
            </w:pPr>
            <w:r w:rsidRPr="00FD4988">
              <w:rPr>
                <w:rFonts w:cs="Arial"/>
                <w:sz w:val="22"/>
                <w:szCs w:val="22"/>
              </w:rPr>
              <w:t>MD 06.11 De leerlingen gebruiken letters als onbekenden, als variabelen en voor veralgemeningen.</w:t>
            </w:r>
          </w:p>
          <w:p w14:paraId="1E1A60CD" w14:textId="77777777" w:rsidR="00FD4988" w:rsidRPr="00FD4988" w:rsidRDefault="00FD4988" w:rsidP="0004534C">
            <w:pPr>
              <w:jc w:val="left"/>
              <w:rPr>
                <w:rFonts w:cs="Arial"/>
                <w:sz w:val="22"/>
                <w:szCs w:val="22"/>
              </w:rPr>
            </w:pPr>
            <w:r w:rsidRPr="00FD4988">
              <w:rPr>
                <w:rFonts w:cs="Arial"/>
                <w:sz w:val="22"/>
                <w:szCs w:val="22"/>
              </w:rPr>
              <w:t>MD 06.12 De leerlingen rekenen met algebraïsche uitdrukkingen.</w:t>
            </w:r>
          </w:p>
        </w:tc>
      </w:tr>
      <w:tr w:rsidR="00FD4988" w:rsidRPr="00FD4988" w14:paraId="67C97ED2" w14:textId="77777777" w:rsidTr="007257E3">
        <w:trPr>
          <w:cantSplit/>
          <w:trHeight w:val="567"/>
        </w:trPr>
        <w:tc>
          <w:tcPr>
            <w:tcW w:w="1401" w:type="pct"/>
            <w:tcBorders>
              <w:top w:val="single" w:sz="4" w:space="0" w:color="000000"/>
              <w:bottom w:val="single" w:sz="18" w:space="0" w:color="auto"/>
            </w:tcBorders>
            <w:shd w:val="clear" w:color="auto" w:fill="D4E1CA" w:themeFill="accent4"/>
            <w:vAlign w:val="center"/>
          </w:tcPr>
          <w:p w14:paraId="27C1D733" w14:textId="77777777" w:rsidR="00FD4988" w:rsidRPr="00FD4988" w:rsidRDefault="00FD4988" w:rsidP="0004534C">
            <w:pPr>
              <w:jc w:val="left"/>
              <w:rPr>
                <w:rFonts w:cs="Arial"/>
                <w:b/>
                <w:bCs/>
                <w:sz w:val="22"/>
                <w:szCs w:val="22"/>
              </w:rPr>
            </w:pPr>
            <w:r w:rsidRPr="00FD4988">
              <w:rPr>
                <w:rFonts w:cs="Arial"/>
                <w:b/>
                <w:bCs/>
                <w:sz w:val="22"/>
                <w:szCs w:val="22"/>
              </w:rPr>
              <w:t>Lesdoelstellingen</w:t>
            </w:r>
          </w:p>
        </w:tc>
        <w:tc>
          <w:tcPr>
            <w:tcW w:w="3599" w:type="pct"/>
            <w:tcBorders>
              <w:top w:val="single" w:sz="4" w:space="0" w:color="000000"/>
              <w:bottom w:val="single" w:sz="18" w:space="0" w:color="auto"/>
            </w:tcBorders>
            <w:vAlign w:val="center"/>
          </w:tcPr>
          <w:p w14:paraId="52699492" w14:textId="77777777" w:rsidR="00FD4988" w:rsidRPr="00FD4988" w:rsidRDefault="00FD4988" w:rsidP="0004534C">
            <w:pPr>
              <w:jc w:val="left"/>
              <w:rPr>
                <w:rFonts w:cs="Arial"/>
                <w:sz w:val="22"/>
                <w:szCs w:val="22"/>
              </w:rPr>
            </w:pPr>
            <w:r w:rsidRPr="00FD4988">
              <w:rPr>
                <w:rFonts w:cs="Arial"/>
                <w:sz w:val="22"/>
                <w:szCs w:val="22"/>
              </w:rPr>
              <w:t>Cognitief</w:t>
            </w:r>
          </w:p>
          <w:p w14:paraId="37758519" w14:textId="77777777" w:rsidR="00FD4988" w:rsidRPr="00FD4988" w:rsidRDefault="00FD4988" w:rsidP="0004534C">
            <w:pPr>
              <w:pStyle w:val="Lijstalinea"/>
              <w:numPr>
                <w:ilvl w:val="0"/>
                <w:numId w:val="1"/>
              </w:numPr>
              <w:jc w:val="left"/>
              <w:rPr>
                <w:rFonts w:cs="Arial"/>
                <w:bCs/>
                <w:sz w:val="22"/>
                <w:szCs w:val="22"/>
              </w:rPr>
            </w:pPr>
            <w:r w:rsidRPr="00FD4988">
              <w:rPr>
                <w:rFonts w:cs="Arial"/>
                <w:bCs/>
                <w:sz w:val="22"/>
                <w:szCs w:val="22"/>
              </w:rPr>
              <w:t>De leerlingen kunnen begrippen correct gebruiken: toegevoegde tweeterm, dubbelproduct. (begrijpen)</w:t>
            </w:r>
          </w:p>
          <w:p w14:paraId="327FE4AD" w14:textId="77777777" w:rsidR="00FD4988" w:rsidRPr="00FD4988" w:rsidRDefault="00FD4988" w:rsidP="0004534C">
            <w:pPr>
              <w:pStyle w:val="Lijstalinea"/>
              <w:numPr>
                <w:ilvl w:val="0"/>
                <w:numId w:val="1"/>
              </w:numPr>
              <w:jc w:val="left"/>
              <w:rPr>
                <w:rFonts w:cs="Arial"/>
                <w:bCs/>
                <w:sz w:val="22"/>
                <w:szCs w:val="22"/>
              </w:rPr>
            </w:pPr>
            <w:r w:rsidRPr="00FD4988">
              <w:rPr>
                <w:rFonts w:cs="Arial"/>
                <w:bCs/>
                <w:sz w:val="22"/>
                <w:szCs w:val="22"/>
              </w:rPr>
              <w:t>De leerlingen kunnen formules reproduceren: het product van toegevoegde tweetermen, het kwadraat van een tweeterm. (onthouden)</w:t>
            </w:r>
          </w:p>
          <w:p w14:paraId="6F749D75" w14:textId="77777777" w:rsidR="00FD4988" w:rsidRPr="00FD4988" w:rsidRDefault="00FD4988" w:rsidP="0004534C">
            <w:pPr>
              <w:pStyle w:val="Lijstalinea"/>
              <w:numPr>
                <w:ilvl w:val="0"/>
                <w:numId w:val="1"/>
              </w:numPr>
              <w:jc w:val="left"/>
              <w:rPr>
                <w:rFonts w:cs="Arial"/>
                <w:bCs/>
                <w:sz w:val="22"/>
                <w:szCs w:val="22"/>
              </w:rPr>
            </w:pPr>
            <w:r w:rsidRPr="00FD4988">
              <w:rPr>
                <w:rFonts w:cs="Arial"/>
                <w:bCs/>
                <w:sz w:val="22"/>
                <w:szCs w:val="22"/>
              </w:rPr>
              <w:t>De leerlingen kunnen rekenen met merkwaardige producten. (toepassen)</w:t>
            </w:r>
          </w:p>
        </w:tc>
      </w:tr>
    </w:tbl>
    <w:p w14:paraId="288E5D66" w14:textId="77777777" w:rsidR="00E33D8A" w:rsidRDefault="00E33D8A"/>
    <w:tbl>
      <w:tblPr>
        <w:tblStyle w:val="Tabelraster"/>
        <w:tblW w:w="5000" w:type="pct"/>
        <w:tblBorders>
          <w:top w:val="single" w:sz="18" w:space="0" w:color="auto"/>
          <w:left w:val="single" w:sz="18" w:space="0" w:color="auto"/>
          <w:bottom w:val="single" w:sz="18" w:space="0" w:color="auto"/>
          <w:right w:val="single" w:sz="18" w:space="0" w:color="auto"/>
        </w:tblBorders>
        <w:tblCellMar>
          <w:top w:w="108" w:type="dxa"/>
          <w:bottom w:w="108" w:type="dxa"/>
        </w:tblCellMar>
        <w:tblLook w:val="04A0" w:firstRow="1" w:lastRow="0" w:firstColumn="1" w:lastColumn="0" w:noHBand="0" w:noVBand="1"/>
      </w:tblPr>
      <w:tblGrid>
        <w:gridCol w:w="2529"/>
        <w:gridCol w:w="6497"/>
      </w:tblGrid>
      <w:tr w:rsidR="00FD4988" w:rsidRPr="00FD4988" w14:paraId="009963A9" w14:textId="77777777" w:rsidTr="007257E3">
        <w:trPr>
          <w:cantSplit/>
          <w:trHeight w:val="567"/>
        </w:trPr>
        <w:tc>
          <w:tcPr>
            <w:tcW w:w="1401" w:type="pct"/>
            <w:tcBorders>
              <w:top w:val="single" w:sz="18" w:space="0" w:color="auto"/>
            </w:tcBorders>
            <w:shd w:val="clear" w:color="auto" w:fill="D4E1CA" w:themeFill="accent4"/>
            <w:vAlign w:val="center"/>
          </w:tcPr>
          <w:p w14:paraId="38133F17" w14:textId="77777777" w:rsidR="00FD4988" w:rsidRPr="00FD4988" w:rsidRDefault="00FD4988" w:rsidP="0004534C">
            <w:pPr>
              <w:jc w:val="left"/>
              <w:rPr>
                <w:rFonts w:cs="Arial"/>
                <w:b/>
                <w:bCs/>
                <w:sz w:val="22"/>
                <w:szCs w:val="22"/>
              </w:rPr>
            </w:pPr>
            <w:r w:rsidRPr="00FD4988">
              <w:rPr>
                <w:rFonts w:cs="Arial"/>
                <w:b/>
                <w:bCs/>
                <w:sz w:val="22"/>
                <w:szCs w:val="22"/>
              </w:rPr>
              <w:lastRenderedPageBreak/>
              <w:t>Beschrijving activiteit</w:t>
            </w:r>
          </w:p>
        </w:tc>
        <w:tc>
          <w:tcPr>
            <w:tcW w:w="3599" w:type="pct"/>
            <w:tcBorders>
              <w:top w:val="single" w:sz="18" w:space="0" w:color="auto"/>
            </w:tcBorders>
            <w:vAlign w:val="center"/>
          </w:tcPr>
          <w:p w14:paraId="55683869" w14:textId="028F09A3" w:rsidR="00FD4988" w:rsidRPr="00FD4988" w:rsidRDefault="00FD4988" w:rsidP="0004534C">
            <w:pPr>
              <w:rPr>
                <w:rFonts w:cs="Arial"/>
                <w:sz w:val="22"/>
                <w:szCs w:val="22"/>
              </w:rPr>
            </w:pPr>
            <w:r w:rsidRPr="00FD4988">
              <w:rPr>
                <w:rFonts w:cs="Arial"/>
                <w:sz w:val="22"/>
                <w:szCs w:val="22"/>
              </w:rPr>
              <w:t>De leerlingen zijn gesplitst in twee teams</w:t>
            </w:r>
            <w:r w:rsidR="00B66BA3">
              <w:rPr>
                <w:rFonts w:cs="Arial"/>
                <w:sz w:val="22"/>
                <w:szCs w:val="22"/>
              </w:rPr>
              <w:t>:</w:t>
            </w:r>
            <w:r w:rsidRPr="00FD4988">
              <w:rPr>
                <w:rFonts w:cs="Arial"/>
                <w:sz w:val="22"/>
                <w:szCs w:val="22"/>
              </w:rPr>
              <w:t xml:space="preserve"> team zwart en team rood.</w:t>
            </w:r>
          </w:p>
          <w:p w14:paraId="1A48F2EE" w14:textId="77777777" w:rsidR="00FD4988" w:rsidRPr="00FD4988" w:rsidRDefault="00FD4988" w:rsidP="0004534C">
            <w:pPr>
              <w:rPr>
                <w:rFonts w:cs="Arial"/>
                <w:sz w:val="22"/>
                <w:szCs w:val="22"/>
              </w:rPr>
            </w:pPr>
            <w:r w:rsidRPr="00FD4988">
              <w:rPr>
                <w:rFonts w:cs="Arial"/>
                <w:sz w:val="22"/>
                <w:szCs w:val="22"/>
              </w:rPr>
              <w:t>Elk team heeft een vlag die ze bewaken in hun kamp.</w:t>
            </w:r>
          </w:p>
          <w:p w14:paraId="7B9C65AE" w14:textId="77777777" w:rsidR="00FD4988" w:rsidRPr="00FD4988" w:rsidRDefault="00FD4988" w:rsidP="0004534C">
            <w:pPr>
              <w:rPr>
                <w:rFonts w:cs="Arial"/>
                <w:sz w:val="22"/>
                <w:szCs w:val="22"/>
              </w:rPr>
            </w:pPr>
            <w:r w:rsidRPr="00FD4988">
              <w:rPr>
                <w:rFonts w:cs="Arial"/>
                <w:sz w:val="22"/>
                <w:szCs w:val="22"/>
              </w:rPr>
              <w:t>Elk team heeft een kapitein. Deze leerling bewaakt alle kaarten van het team en blijft in het kamp. Hij mag weliswaar geen kaarten gebruiken om de vlag te verdedigen.</w:t>
            </w:r>
          </w:p>
          <w:p w14:paraId="39F5C085" w14:textId="77777777" w:rsidR="00FD4988" w:rsidRPr="00FD4988" w:rsidRDefault="00FD4988" w:rsidP="0004534C">
            <w:pPr>
              <w:rPr>
                <w:rFonts w:cs="Arial"/>
                <w:sz w:val="22"/>
                <w:szCs w:val="22"/>
              </w:rPr>
            </w:pPr>
            <w:r w:rsidRPr="00FD4988">
              <w:rPr>
                <w:rFonts w:cs="Arial"/>
                <w:sz w:val="22"/>
                <w:szCs w:val="22"/>
              </w:rPr>
              <w:t>Leerlingen die een kaart hebben van hun team proberen de vlag van de tegenstander te stelen. Wanneer ze door de tegenstander tegengehouden (getikt) worden, moeten de twee leerlingen elkaar hun kaart tonen. Een kaart van team zwart en een kaart van team rood creëren een opgave van een merkwaardig product. De leerling die deze opgave als eerste correct oplost wint het duel. Er liggen controletabellen verspreid over de speelplaats zodat de leerlingen hun eigen oplossingen kunnen controleren. De winnaar van het duel krijgt de kaart van de tegenstander en mag doorlopen met als doel de vlag te stelen. De verliezer geeft zijn kaart aan de winnaar en moet terug naar zijn kamp. Daar moet hij een minuut wachten vooraleer hij weer kan vertrekken met een nieuwe kaart.</w:t>
            </w:r>
          </w:p>
          <w:p w14:paraId="23E76EFB" w14:textId="77777777" w:rsidR="00FD4988" w:rsidRPr="00FD4988" w:rsidRDefault="00FD4988" w:rsidP="0004534C">
            <w:pPr>
              <w:rPr>
                <w:rFonts w:cs="Arial"/>
                <w:sz w:val="22"/>
                <w:szCs w:val="22"/>
              </w:rPr>
            </w:pPr>
            <w:r w:rsidRPr="00FD4988">
              <w:rPr>
                <w:rFonts w:cs="Arial"/>
                <w:sz w:val="22"/>
                <w:szCs w:val="22"/>
              </w:rPr>
              <w:t>Het spel eindigt wanneer een team de vlag van de tegenstander in zijn kamp heeft gebracht.</w:t>
            </w:r>
          </w:p>
        </w:tc>
      </w:tr>
      <w:tr w:rsidR="00FD4988" w:rsidRPr="00FD4988" w14:paraId="53D177C8" w14:textId="77777777" w:rsidTr="007257E3">
        <w:trPr>
          <w:cantSplit/>
          <w:trHeight w:val="567"/>
        </w:trPr>
        <w:tc>
          <w:tcPr>
            <w:tcW w:w="1401" w:type="pct"/>
            <w:shd w:val="clear" w:color="auto" w:fill="D4E1CA" w:themeFill="accent4"/>
            <w:vAlign w:val="center"/>
          </w:tcPr>
          <w:p w14:paraId="17910105" w14:textId="77777777" w:rsidR="00FD4988" w:rsidRPr="00FD4988" w:rsidRDefault="00FD4988" w:rsidP="0004534C">
            <w:pPr>
              <w:jc w:val="left"/>
              <w:rPr>
                <w:rFonts w:cs="Arial"/>
                <w:b/>
                <w:bCs/>
                <w:sz w:val="22"/>
                <w:szCs w:val="22"/>
              </w:rPr>
            </w:pPr>
            <w:r w:rsidRPr="00FD4988">
              <w:rPr>
                <w:rFonts w:cs="Arial"/>
                <w:b/>
                <w:bCs/>
                <w:sz w:val="22"/>
                <w:szCs w:val="22"/>
              </w:rPr>
              <w:t>Benodigdheden</w:t>
            </w:r>
          </w:p>
        </w:tc>
        <w:tc>
          <w:tcPr>
            <w:tcW w:w="3599" w:type="pct"/>
            <w:vAlign w:val="center"/>
          </w:tcPr>
          <w:p w14:paraId="5163CD9F" w14:textId="3E5BD5E2" w:rsidR="00FD4988" w:rsidRPr="00FD4988" w:rsidRDefault="0090631B" w:rsidP="0004534C">
            <w:pPr>
              <w:pStyle w:val="Lijstalinea"/>
              <w:numPr>
                <w:ilvl w:val="0"/>
                <w:numId w:val="2"/>
              </w:numPr>
              <w:jc w:val="left"/>
              <w:rPr>
                <w:rFonts w:cs="Arial"/>
                <w:sz w:val="22"/>
                <w:szCs w:val="22"/>
              </w:rPr>
            </w:pPr>
            <w:r>
              <w:rPr>
                <w:rFonts w:cs="Arial"/>
                <w:sz w:val="22"/>
                <w:szCs w:val="22"/>
              </w:rPr>
              <w:t>Twee v</w:t>
            </w:r>
            <w:r w:rsidR="00FD4988" w:rsidRPr="00FD4988">
              <w:rPr>
                <w:rFonts w:cs="Arial"/>
                <w:sz w:val="22"/>
                <w:szCs w:val="22"/>
              </w:rPr>
              <w:t>laggen</w:t>
            </w:r>
            <w:r>
              <w:rPr>
                <w:rFonts w:cs="Arial"/>
                <w:sz w:val="22"/>
                <w:szCs w:val="22"/>
              </w:rPr>
              <w:t xml:space="preserve"> (of keukenhanddoeken)</w:t>
            </w:r>
          </w:p>
          <w:p w14:paraId="7CD41E6E" w14:textId="77777777" w:rsidR="00FD4988" w:rsidRPr="00FD4988" w:rsidRDefault="00FD4988" w:rsidP="0004534C">
            <w:pPr>
              <w:pStyle w:val="Lijstalinea"/>
              <w:numPr>
                <w:ilvl w:val="0"/>
                <w:numId w:val="2"/>
              </w:numPr>
              <w:jc w:val="left"/>
              <w:rPr>
                <w:rFonts w:cs="Arial"/>
                <w:sz w:val="22"/>
                <w:szCs w:val="22"/>
              </w:rPr>
            </w:pPr>
            <w:r w:rsidRPr="00FD4988">
              <w:rPr>
                <w:rFonts w:cs="Arial"/>
                <w:sz w:val="22"/>
                <w:szCs w:val="22"/>
              </w:rPr>
              <w:t>Kaartjes met halve opgaven (zwart en rood)</w:t>
            </w:r>
          </w:p>
          <w:p w14:paraId="70A061B6" w14:textId="77777777" w:rsidR="00FD4988" w:rsidRPr="00FD4988" w:rsidRDefault="00FD4988" w:rsidP="0004534C">
            <w:pPr>
              <w:pStyle w:val="Lijstalinea"/>
              <w:numPr>
                <w:ilvl w:val="0"/>
                <w:numId w:val="2"/>
              </w:numPr>
              <w:jc w:val="left"/>
              <w:rPr>
                <w:rFonts w:cs="Arial"/>
                <w:sz w:val="22"/>
                <w:szCs w:val="22"/>
              </w:rPr>
            </w:pPr>
            <w:r w:rsidRPr="00FD4988">
              <w:rPr>
                <w:rFonts w:cs="Arial"/>
                <w:sz w:val="22"/>
                <w:szCs w:val="22"/>
              </w:rPr>
              <w:t>Controletabel</w:t>
            </w:r>
          </w:p>
        </w:tc>
      </w:tr>
      <w:tr w:rsidR="00B66BA3" w:rsidRPr="00FD4988" w14:paraId="6580265F" w14:textId="77777777" w:rsidTr="007257E3">
        <w:trPr>
          <w:cantSplit/>
          <w:trHeight w:val="567"/>
        </w:trPr>
        <w:tc>
          <w:tcPr>
            <w:tcW w:w="1401" w:type="pct"/>
            <w:shd w:val="clear" w:color="auto" w:fill="D4E1CA" w:themeFill="accent4"/>
            <w:vAlign w:val="center"/>
          </w:tcPr>
          <w:p w14:paraId="25ED0674" w14:textId="77777777" w:rsidR="00B66BA3" w:rsidRPr="00FD4988" w:rsidRDefault="00B66BA3" w:rsidP="00B66BA3">
            <w:pPr>
              <w:jc w:val="left"/>
              <w:rPr>
                <w:rFonts w:cs="Arial"/>
                <w:b/>
                <w:bCs/>
                <w:sz w:val="22"/>
                <w:szCs w:val="22"/>
              </w:rPr>
            </w:pPr>
            <w:r w:rsidRPr="00FD4988">
              <w:rPr>
                <w:rFonts w:cs="Arial"/>
                <w:b/>
                <w:bCs/>
                <w:sz w:val="22"/>
                <w:szCs w:val="22"/>
              </w:rPr>
              <w:t>Locatie</w:t>
            </w:r>
          </w:p>
        </w:tc>
        <w:tc>
          <w:tcPr>
            <w:tcW w:w="3599" w:type="pct"/>
            <w:vAlign w:val="center"/>
          </w:tcPr>
          <w:p w14:paraId="24737D79" w14:textId="77777777" w:rsidR="00B66BA3" w:rsidRPr="00B66BA3" w:rsidRDefault="00B66BA3" w:rsidP="00B66BA3">
            <w:pPr>
              <w:jc w:val="left"/>
              <w:rPr>
                <w:sz w:val="22"/>
                <w:szCs w:val="22"/>
              </w:rPr>
            </w:pPr>
            <w:r w:rsidRPr="00B66BA3">
              <w:rPr>
                <w:sz w:val="22"/>
                <w:szCs w:val="22"/>
              </w:rPr>
              <w:t xml:space="preserve">place-ambivalent (space) – </w:t>
            </w:r>
            <w:r w:rsidRPr="00B66BA3">
              <w:rPr>
                <w:sz w:val="22"/>
                <w:szCs w:val="22"/>
                <w:shd w:val="clear" w:color="auto" w:fill="D4E1CA" w:themeFill="accent4"/>
              </w:rPr>
              <w:t>place-sensitive</w:t>
            </w:r>
            <w:r w:rsidRPr="00B66BA3">
              <w:rPr>
                <w:sz w:val="22"/>
                <w:szCs w:val="22"/>
              </w:rPr>
              <w:t xml:space="preserve"> – place-essential</w:t>
            </w:r>
          </w:p>
          <w:p w14:paraId="7DA15DAD" w14:textId="77777777" w:rsidR="00B66BA3" w:rsidRPr="00B66BA3" w:rsidRDefault="00B66BA3" w:rsidP="00B66BA3">
            <w:pPr>
              <w:jc w:val="left"/>
              <w:rPr>
                <w:sz w:val="22"/>
                <w:szCs w:val="22"/>
              </w:rPr>
            </w:pPr>
          </w:p>
          <w:p w14:paraId="3293A411" w14:textId="77777777" w:rsidR="00B66BA3" w:rsidRPr="00B66BA3" w:rsidRDefault="00B66BA3" w:rsidP="00B66BA3">
            <w:pPr>
              <w:jc w:val="left"/>
              <w:rPr>
                <w:sz w:val="22"/>
                <w:szCs w:val="22"/>
              </w:rPr>
            </w:pPr>
            <w:r w:rsidRPr="00B66BA3">
              <w:rPr>
                <w:sz w:val="22"/>
                <w:szCs w:val="22"/>
              </w:rPr>
              <w:t>Kenmerken van de locatie:</w:t>
            </w:r>
          </w:p>
          <w:p w14:paraId="650A0181" w14:textId="77777777" w:rsidR="00B66BA3" w:rsidRPr="00B66BA3" w:rsidRDefault="00B66BA3" w:rsidP="00B66BA3">
            <w:pPr>
              <w:pStyle w:val="Lijstalinea"/>
              <w:numPr>
                <w:ilvl w:val="0"/>
                <w:numId w:val="1"/>
              </w:numPr>
              <w:rPr>
                <w:sz w:val="22"/>
                <w:szCs w:val="22"/>
              </w:rPr>
            </w:pPr>
            <w:r w:rsidRPr="00B66BA3">
              <w:rPr>
                <w:sz w:val="22"/>
                <w:szCs w:val="22"/>
              </w:rPr>
              <w:t>Veilig voor leerlingen om vrij rond te lopen</w:t>
            </w:r>
          </w:p>
          <w:p w14:paraId="4BE8B031" w14:textId="77777777" w:rsidR="00B66BA3" w:rsidRPr="00B66BA3" w:rsidRDefault="00B66BA3" w:rsidP="00B66BA3">
            <w:pPr>
              <w:pStyle w:val="Lijstalinea"/>
              <w:rPr>
                <w:sz w:val="22"/>
                <w:szCs w:val="22"/>
              </w:rPr>
            </w:pPr>
            <w:r w:rsidRPr="00B66BA3">
              <w:rPr>
                <w:sz w:val="22"/>
                <w:szCs w:val="22"/>
              </w:rPr>
              <w:sym w:font="Wingdings" w:char="F0E0"/>
            </w:r>
            <w:r w:rsidRPr="00B66BA3">
              <w:rPr>
                <w:sz w:val="22"/>
                <w:szCs w:val="22"/>
              </w:rPr>
              <w:t xml:space="preserve"> weinig/geen verkeer</w:t>
            </w:r>
          </w:p>
          <w:p w14:paraId="38BC2B15" w14:textId="77777777" w:rsidR="00B66BA3" w:rsidRPr="00B66BA3" w:rsidRDefault="00B66BA3" w:rsidP="00B66BA3">
            <w:pPr>
              <w:jc w:val="left"/>
              <w:rPr>
                <w:sz w:val="22"/>
                <w:szCs w:val="22"/>
              </w:rPr>
            </w:pPr>
            <w:r w:rsidRPr="00B66BA3">
              <w:rPr>
                <w:sz w:val="22"/>
                <w:szCs w:val="22"/>
              </w:rPr>
              <w:tab/>
            </w:r>
            <w:r w:rsidRPr="00B66BA3">
              <w:rPr>
                <w:sz w:val="22"/>
                <w:szCs w:val="22"/>
              </w:rPr>
              <w:sym w:font="Wingdings" w:char="F0E0"/>
            </w:r>
            <w:r w:rsidRPr="00B66BA3">
              <w:rPr>
                <w:sz w:val="22"/>
                <w:szCs w:val="22"/>
              </w:rPr>
              <w:t xml:space="preserve"> eventueel afgesloten domein</w:t>
            </w:r>
          </w:p>
          <w:p w14:paraId="25CD91F5" w14:textId="77777777" w:rsidR="00B66BA3" w:rsidRPr="00B66BA3" w:rsidRDefault="00B66BA3" w:rsidP="00B66BA3">
            <w:pPr>
              <w:jc w:val="left"/>
              <w:rPr>
                <w:sz w:val="22"/>
                <w:szCs w:val="22"/>
              </w:rPr>
            </w:pPr>
          </w:p>
          <w:p w14:paraId="5F9B57B2" w14:textId="5A6528DD" w:rsidR="00B66BA3" w:rsidRPr="00B66BA3" w:rsidRDefault="00B66BA3" w:rsidP="00B66BA3">
            <w:pPr>
              <w:jc w:val="left"/>
              <w:rPr>
                <w:rFonts w:cs="Arial"/>
                <w:sz w:val="22"/>
                <w:szCs w:val="22"/>
              </w:rPr>
            </w:pPr>
            <w:r w:rsidRPr="00B66BA3">
              <w:rPr>
                <w:sz w:val="22"/>
                <w:szCs w:val="22"/>
              </w:rPr>
              <w:sym w:font="Wingdings" w:char="F0E0"/>
            </w:r>
            <w:r w:rsidRPr="00B66BA3">
              <w:rPr>
                <w:sz w:val="22"/>
                <w:szCs w:val="22"/>
              </w:rPr>
              <w:t xml:space="preserve"> Speelplaats</w:t>
            </w:r>
          </w:p>
        </w:tc>
      </w:tr>
      <w:tr w:rsidR="00B66BA3" w:rsidRPr="00FD4988" w14:paraId="6B8E084C" w14:textId="77777777" w:rsidTr="007257E3">
        <w:trPr>
          <w:cantSplit/>
          <w:trHeight w:val="567"/>
        </w:trPr>
        <w:tc>
          <w:tcPr>
            <w:tcW w:w="1401" w:type="pct"/>
            <w:tcBorders>
              <w:bottom w:val="single" w:sz="18" w:space="0" w:color="auto"/>
            </w:tcBorders>
            <w:shd w:val="clear" w:color="auto" w:fill="D4E1CA" w:themeFill="accent4"/>
            <w:vAlign w:val="center"/>
          </w:tcPr>
          <w:p w14:paraId="004CFB22" w14:textId="7CF60377" w:rsidR="00B66BA3" w:rsidRPr="00FD4988" w:rsidRDefault="00B66BA3" w:rsidP="00B66BA3">
            <w:pPr>
              <w:jc w:val="left"/>
              <w:rPr>
                <w:rFonts w:cs="Arial"/>
                <w:b/>
                <w:bCs/>
                <w:sz w:val="22"/>
                <w:szCs w:val="22"/>
              </w:rPr>
            </w:pPr>
            <w:r w:rsidRPr="00255DD2">
              <w:rPr>
                <w:b/>
                <w:bCs/>
                <w:sz w:val="22"/>
                <w:szCs w:val="28"/>
              </w:rPr>
              <w:t>Tijdsduur</w:t>
            </w:r>
            <w:r>
              <w:rPr>
                <w:b/>
                <w:bCs/>
              </w:rPr>
              <w:br/>
            </w:r>
            <w:r w:rsidRPr="006721ED">
              <w:rPr>
                <w:szCs w:val="22"/>
              </w:rPr>
              <w:t>(</w:t>
            </w:r>
            <w:r>
              <w:rPr>
                <w:szCs w:val="22"/>
              </w:rPr>
              <w:t>verplaatsing niet ingerekend</w:t>
            </w:r>
            <w:r w:rsidRPr="006721ED">
              <w:rPr>
                <w:szCs w:val="22"/>
              </w:rPr>
              <w:t>)</w:t>
            </w:r>
          </w:p>
        </w:tc>
        <w:tc>
          <w:tcPr>
            <w:tcW w:w="3599" w:type="pct"/>
            <w:tcBorders>
              <w:bottom w:val="single" w:sz="18" w:space="0" w:color="auto"/>
            </w:tcBorders>
            <w:vAlign w:val="center"/>
          </w:tcPr>
          <w:p w14:paraId="244AFB0E" w14:textId="77777777" w:rsidR="00B66BA3" w:rsidRPr="00FD4988" w:rsidRDefault="00B66BA3" w:rsidP="00B66BA3">
            <w:pPr>
              <w:jc w:val="left"/>
              <w:rPr>
                <w:rFonts w:cs="Arial"/>
                <w:sz w:val="22"/>
                <w:szCs w:val="22"/>
              </w:rPr>
            </w:pPr>
            <w:r w:rsidRPr="00FD4988">
              <w:rPr>
                <w:rFonts w:cs="Arial"/>
                <w:sz w:val="22"/>
                <w:szCs w:val="22"/>
              </w:rPr>
              <w:t>20 à 30 minuten</w:t>
            </w:r>
          </w:p>
        </w:tc>
      </w:tr>
      <w:tr w:rsidR="00B66BA3" w:rsidRPr="00FD4988" w14:paraId="59A852E4" w14:textId="77777777" w:rsidTr="007257E3">
        <w:trPr>
          <w:cantSplit/>
          <w:trHeight w:val="567"/>
        </w:trPr>
        <w:tc>
          <w:tcPr>
            <w:tcW w:w="1401" w:type="pct"/>
            <w:tcBorders>
              <w:top w:val="single" w:sz="18" w:space="0" w:color="auto"/>
              <w:bottom w:val="single" w:sz="18" w:space="0" w:color="auto"/>
            </w:tcBorders>
            <w:shd w:val="clear" w:color="auto" w:fill="D4E1CA" w:themeFill="accent4"/>
            <w:vAlign w:val="center"/>
          </w:tcPr>
          <w:p w14:paraId="42E14D63" w14:textId="77777777" w:rsidR="00B66BA3" w:rsidRPr="00FD4988" w:rsidRDefault="00B66BA3" w:rsidP="00B66BA3">
            <w:pPr>
              <w:jc w:val="left"/>
              <w:rPr>
                <w:rFonts w:cs="Arial"/>
                <w:b/>
                <w:bCs/>
                <w:sz w:val="22"/>
                <w:szCs w:val="22"/>
              </w:rPr>
            </w:pPr>
            <w:r w:rsidRPr="00FD4988">
              <w:rPr>
                <w:rFonts w:cs="Arial"/>
                <w:b/>
                <w:bCs/>
                <w:sz w:val="22"/>
                <w:szCs w:val="22"/>
              </w:rPr>
              <w:t>Afspraken</w:t>
            </w:r>
          </w:p>
        </w:tc>
        <w:tc>
          <w:tcPr>
            <w:tcW w:w="3599" w:type="pct"/>
            <w:tcBorders>
              <w:top w:val="single" w:sz="18" w:space="0" w:color="auto"/>
              <w:bottom w:val="single" w:sz="18" w:space="0" w:color="auto"/>
            </w:tcBorders>
            <w:vAlign w:val="center"/>
          </w:tcPr>
          <w:p w14:paraId="10341E69" w14:textId="77777777" w:rsidR="00B66BA3" w:rsidRPr="00B66BA3" w:rsidRDefault="00B66BA3" w:rsidP="00B66BA3">
            <w:pPr>
              <w:numPr>
                <w:ilvl w:val="0"/>
                <w:numId w:val="1"/>
              </w:numPr>
              <w:rPr>
                <w:rFonts w:cs="Arial"/>
                <w:sz w:val="22"/>
              </w:rPr>
            </w:pPr>
            <w:r w:rsidRPr="00B66BA3">
              <w:rPr>
                <w:rFonts w:cs="Arial"/>
                <w:sz w:val="22"/>
              </w:rPr>
              <w:t>In de gangen is het stil.</w:t>
            </w:r>
          </w:p>
          <w:p w14:paraId="3A7F69C7" w14:textId="77777777" w:rsidR="00B66BA3" w:rsidRPr="00B66BA3" w:rsidRDefault="00B66BA3" w:rsidP="00B66BA3">
            <w:pPr>
              <w:pStyle w:val="Lijstalinea"/>
              <w:numPr>
                <w:ilvl w:val="0"/>
                <w:numId w:val="1"/>
              </w:numPr>
              <w:jc w:val="left"/>
              <w:rPr>
                <w:sz w:val="22"/>
              </w:rPr>
            </w:pPr>
            <w:r w:rsidRPr="00B66BA3">
              <w:rPr>
                <w:rFonts w:cs="Arial"/>
                <w:sz w:val="22"/>
              </w:rPr>
              <w:t>Tijdens de uitleg van de leerkracht zijn leerlingen stil en letten ze op.</w:t>
            </w:r>
          </w:p>
          <w:p w14:paraId="58629984" w14:textId="4509C3A5" w:rsidR="00B66BA3" w:rsidRPr="00B66BA3" w:rsidRDefault="00B66BA3" w:rsidP="00B66BA3">
            <w:pPr>
              <w:pStyle w:val="Lijstalinea"/>
              <w:numPr>
                <w:ilvl w:val="0"/>
                <w:numId w:val="1"/>
              </w:numPr>
              <w:jc w:val="left"/>
              <w:rPr>
                <w:rFonts w:cs="Arial"/>
                <w:sz w:val="22"/>
              </w:rPr>
            </w:pPr>
            <w:r w:rsidRPr="00B66BA3">
              <w:rPr>
                <w:rFonts w:cs="Arial"/>
                <w:sz w:val="22"/>
              </w:rPr>
              <w:t>Leerlingen blijven op het gekozen terrein (op de speelplaats).</w:t>
            </w:r>
          </w:p>
        </w:tc>
      </w:tr>
    </w:tbl>
    <w:p w14:paraId="0ECA223E" w14:textId="77777777" w:rsidR="00B14C11" w:rsidRPr="00FD4988" w:rsidRDefault="00B14C11">
      <w:pPr>
        <w:rPr>
          <w:rFonts w:cs="Arial"/>
          <w:szCs w:val="22"/>
        </w:rPr>
      </w:pPr>
    </w:p>
    <w:sectPr w:rsidR="00B14C11" w:rsidRPr="00FD4988" w:rsidSect="0035650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0C842" w14:textId="77777777" w:rsidR="00C60F6F" w:rsidRDefault="00C60F6F" w:rsidP="0046299B">
      <w:r>
        <w:separator/>
      </w:r>
    </w:p>
  </w:endnote>
  <w:endnote w:type="continuationSeparator" w:id="0">
    <w:p w14:paraId="03416486" w14:textId="77777777" w:rsidR="00C60F6F" w:rsidRDefault="00C60F6F" w:rsidP="0046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11FB" w14:textId="77777777" w:rsidR="00BA609D" w:rsidRDefault="00BA60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564F" w14:textId="77777777" w:rsidR="00BA609D" w:rsidRDefault="00BA60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D3B8" w14:textId="77777777" w:rsidR="00BA609D" w:rsidRDefault="00BA60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B3535" w14:textId="77777777" w:rsidR="00C60F6F" w:rsidRDefault="00C60F6F" w:rsidP="0046299B">
      <w:r>
        <w:separator/>
      </w:r>
    </w:p>
  </w:footnote>
  <w:footnote w:type="continuationSeparator" w:id="0">
    <w:p w14:paraId="4FFD907A" w14:textId="77777777" w:rsidR="00C60F6F" w:rsidRDefault="00C60F6F" w:rsidP="00462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398F" w14:textId="77777777" w:rsidR="00BA609D" w:rsidRDefault="00BA60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5643" w14:textId="4B681CAE" w:rsidR="0046299B" w:rsidRPr="0046299B" w:rsidRDefault="00785559">
    <w:pPr>
      <w:pStyle w:val="Koptekst"/>
      <w:rPr>
        <w:sz w:val="20"/>
        <w:szCs w:val="22"/>
        <w:lang w:val="nl-BE"/>
      </w:rPr>
    </w:pPr>
    <w:r>
      <w:rPr>
        <w:sz w:val="20"/>
        <w:szCs w:val="22"/>
        <w:lang w:val="nl-BE"/>
      </w:rPr>
      <w:t>M</w:t>
    </w:r>
    <w:r w:rsidR="00BA609D">
      <w:rPr>
        <w:sz w:val="20"/>
        <w:szCs w:val="22"/>
        <w:lang w:val="nl-BE"/>
      </w:rPr>
      <w:t>erkwaardige producten</w:t>
    </w:r>
    <w:r w:rsidR="0046299B">
      <w:rPr>
        <w:sz w:val="20"/>
        <w:szCs w:val="22"/>
        <w:lang w:val="nl-BE"/>
      </w:rPr>
      <w:tab/>
    </w:r>
    <w:r w:rsidR="0046299B">
      <w:rPr>
        <w:sz w:val="20"/>
        <w:szCs w:val="22"/>
        <w:lang w:val="nl-BE"/>
      </w:rPr>
      <w:tab/>
      <w:t>Noa Beckers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6D3BC" w14:textId="77777777" w:rsidR="00BA609D" w:rsidRDefault="00BA609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87CCC"/>
    <w:multiLevelType w:val="hybridMultilevel"/>
    <w:tmpl w:val="D84460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2AC7E6E"/>
    <w:multiLevelType w:val="hybridMultilevel"/>
    <w:tmpl w:val="3B78FB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FCE552C"/>
    <w:multiLevelType w:val="hybridMultilevel"/>
    <w:tmpl w:val="5DD42A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00769BB"/>
    <w:multiLevelType w:val="hybridMultilevel"/>
    <w:tmpl w:val="0E0421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70615548">
    <w:abstractNumId w:val="1"/>
  </w:num>
  <w:num w:numId="2" w16cid:durableId="199099527">
    <w:abstractNumId w:val="3"/>
  </w:num>
  <w:num w:numId="3" w16cid:durableId="708265116">
    <w:abstractNumId w:val="2"/>
  </w:num>
  <w:num w:numId="4" w16cid:durableId="566375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9B"/>
    <w:rsid w:val="00076DB8"/>
    <w:rsid w:val="001556BA"/>
    <w:rsid w:val="002222CB"/>
    <w:rsid w:val="00255DD2"/>
    <w:rsid w:val="00356508"/>
    <w:rsid w:val="00380D22"/>
    <w:rsid w:val="003C64B0"/>
    <w:rsid w:val="003D1806"/>
    <w:rsid w:val="00461BEA"/>
    <w:rsid w:val="0046299B"/>
    <w:rsid w:val="0055673D"/>
    <w:rsid w:val="005B3F2D"/>
    <w:rsid w:val="005B487F"/>
    <w:rsid w:val="0071236D"/>
    <w:rsid w:val="007257E3"/>
    <w:rsid w:val="00725E4D"/>
    <w:rsid w:val="00785559"/>
    <w:rsid w:val="00870618"/>
    <w:rsid w:val="00876706"/>
    <w:rsid w:val="008D74B8"/>
    <w:rsid w:val="0090631B"/>
    <w:rsid w:val="009314F4"/>
    <w:rsid w:val="00942272"/>
    <w:rsid w:val="00950A2D"/>
    <w:rsid w:val="0095171A"/>
    <w:rsid w:val="00A01440"/>
    <w:rsid w:val="00B131B2"/>
    <w:rsid w:val="00B14C11"/>
    <w:rsid w:val="00B302DA"/>
    <w:rsid w:val="00B66BA3"/>
    <w:rsid w:val="00B940CC"/>
    <w:rsid w:val="00BA609D"/>
    <w:rsid w:val="00BA7FB7"/>
    <w:rsid w:val="00C10A11"/>
    <w:rsid w:val="00C46FFB"/>
    <w:rsid w:val="00C60F6F"/>
    <w:rsid w:val="00C663F4"/>
    <w:rsid w:val="00D06050"/>
    <w:rsid w:val="00D5618E"/>
    <w:rsid w:val="00D56621"/>
    <w:rsid w:val="00DB6C15"/>
    <w:rsid w:val="00E33D8A"/>
    <w:rsid w:val="00E94E06"/>
    <w:rsid w:val="00FD4988"/>
    <w:rsid w:val="00FF043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1147A"/>
  <w15:chartTrackingRefBased/>
  <w15:docId w15:val="{81B4C579-0555-44EB-A212-8F10DA3D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299B"/>
    <w:pPr>
      <w:spacing w:after="0" w:line="240" w:lineRule="auto"/>
      <w:contextualSpacing/>
      <w:jc w:val="both"/>
    </w:pPr>
    <w:rPr>
      <w:rFonts w:ascii="Arial" w:eastAsia="Times New Roman" w:hAnsi="Arial" w:cs="Times New Roman"/>
      <w:kern w:val="0"/>
      <w:szCs w:val="24"/>
      <w:lang w:val="nl-NL" w:eastAsia="nl-NL"/>
      <w14:ligatures w14:val="none"/>
    </w:rPr>
  </w:style>
  <w:style w:type="paragraph" w:styleId="Kop1">
    <w:name w:val="heading 1"/>
    <w:basedOn w:val="Standaard"/>
    <w:next w:val="Standaard"/>
    <w:link w:val="Kop1Char"/>
    <w:uiPriority w:val="9"/>
    <w:qFormat/>
    <w:rsid w:val="005B487F"/>
    <w:pPr>
      <w:keepNext/>
      <w:keepLines/>
      <w:spacing w:before="240"/>
      <w:outlineLvl w:val="0"/>
    </w:pPr>
    <w:rPr>
      <w:rFonts w:asciiTheme="majorHAnsi" w:eastAsiaTheme="majorEastAsia" w:hAnsiTheme="majorHAnsi" w:cstheme="majorBidi"/>
      <w:color w:val="3B641E" w:themeColor="accent1" w:themeShade="BF"/>
      <w:sz w:val="32"/>
      <w:szCs w:val="32"/>
    </w:rPr>
  </w:style>
  <w:style w:type="paragraph" w:styleId="Kop2">
    <w:name w:val="heading 2"/>
    <w:basedOn w:val="Standaard"/>
    <w:next w:val="Standaard"/>
    <w:link w:val="Kop2Char"/>
    <w:uiPriority w:val="9"/>
    <w:unhideWhenUsed/>
    <w:qFormat/>
    <w:rsid w:val="005B487F"/>
    <w:pPr>
      <w:keepNext/>
      <w:keepLines/>
      <w:spacing w:before="40"/>
      <w:outlineLvl w:val="1"/>
    </w:pPr>
    <w:rPr>
      <w:rFonts w:asciiTheme="majorHAnsi" w:eastAsiaTheme="majorEastAsia" w:hAnsiTheme="majorHAnsi" w:cstheme="majorBidi"/>
      <w:color w:val="3B641E" w:themeColor="accent1" w:themeShade="BF"/>
      <w:sz w:val="26"/>
      <w:szCs w:val="26"/>
    </w:rPr>
  </w:style>
  <w:style w:type="paragraph" w:styleId="Kop3">
    <w:name w:val="heading 3"/>
    <w:basedOn w:val="Standaard"/>
    <w:next w:val="Standaard"/>
    <w:link w:val="Kop3Char"/>
    <w:uiPriority w:val="9"/>
    <w:unhideWhenUsed/>
    <w:qFormat/>
    <w:rsid w:val="005B487F"/>
    <w:pPr>
      <w:keepNext/>
      <w:keepLines/>
      <w:spacing w:before="40"/>
      <w:outlineLvl w:val="2"/>
    </w:pPr>
    <w:rPr>
      <w:rFonts w:asciiTheme="majorHAnsi" w:eastAsiaTheme="majorEastAsia" w:hAnsiTheme="majorHAnsi" w:cstheme="majorBidi"/>
      <w:color w:val="274214" w:themeColor="accent1" w:themeShade="7F"/>
      <w:sz w:val="24"/>
    </w:rPr>
  </w:style>
  <w:style w:type="paragraph" w:styleId="Kop4">
    <w:name w:val="heading 4"/>
    <w:basedOn w:val="Standaard"/>
    <w:next w:val="Standaard"/>
    <w:link w:val="Kop4Char"/>
    <w:uiPriority w:val="9"/>
    <w:unhideWhenUsed/>
    <w:qFormat/>
    <w:rsid w:val="005B487F"/>
    <w:pPr>
      <w:keepNext/>
      <w:keepLines/>
      <w:spacing w:before="40"/>
      <w:outlineLvl w:val="3"/>
    </w:pPr>
    <w:rPr>
      <w:rFonts w:asciiTheme="majorHAnsi" w:eastAsiaTheme="majorEastAsia" w:hAnsiTheme="majorHAnsi" w:cstheme="majorBidi"/>
      <w:i/>
      <w:iCs/>
      <w:color w:val="3B641E" w:themeColor="accent1" w:themeShade="BF"/>
    </w:rPr>
  </w:style>
  <w:style w:type="paragraph" w:styleId="Kop5">
    <w:name w:val="heading 5"/>
    <w:basedOn w:val="Standaard"/>
    <w:next w:val="Standaard"/>
    <w:link w:val="Kop5Char"/>
    <w:uiPriority w:val="9"/>
    <w:unhideWhenUsed/>
    <w:qFormat/>
    <w:rsid w:val="005B487F"/>
    <w:pPr>
      <w:keepNext/>
      <w:keepLines/>
      <w:spacing w:before="40"/>
      <w:outlineLvl w:val="4"/>
    </w:pPr>
    <w:rPr>
      <w:rFonts w:asciiTheme="majorHAnsi" w:eastAsiaTheme="majorEastAsia" w:hAnsiTheme="majorHAnsi" w:cstheme="majorBidi"/>
      <w:color w:val="3B641E" w:themeColor="accent1" w:themeShade="BF"/>
    </w:rPr>
  </w:style>
  <w:style w:type="paragraph" w:styleId="Kop6">
    <w:name w:val="heading 6"/>
    <w:basedOn w:val="Standaard"/>
    <w:next w:val="Standaard"/>
    <w:link w:val="Kop6Char"/>
    <w:uiPriority w:val="9"/>
    <w:unhideWhenUsed/>
    <w:qFormat/>
    <w:rsid w:val="005B487F"/>
    <w:pPr>
      <w:keepNext/>
      <w:keepLines/>
      <w:spacing w:before="40"/>
      <w:outlineLvl w:val="5"/>
    </w:pPr>
    <w:rPr>
      <w:rFonts w:asciiTheme="majorHAnsi" w:eastAsiaTheme="majorEastAsia" w:hAnsiTheme="majorHAnsi" w:cstheme="majorBidi"/>
      <w:color w:val="274214" w:themeColor="accent1" w:themeShade="7F"/>
    </w:rPr>
  </w:style>
  <w:style w:type="paragraph" w:styleId="Kop7">
    <w:name w:val="heading 7"/>
    <w:basedOn w:val="Standaard"/>
    <w:next w:val="Standaard"/>
    <w:link w:val="Kop7Char"/>
    <w:uiPriority w:val="9"/>
    <w:unhideWhenUsed/>
    <w:qFormat/>
    <w:rsid w:val="005B487F"/>
    <w:pPr>
      <w:keepNext/>
      <w:keepLines/>
      <w:spacing w:before="40"/>
      <w:outlineLvl w:val="6"/>
    </w:pPr>
    <w:rPr>
      <w:rFonts w:asciiTheme="majorHAnsi" w:eastAsiaTheme="majorEastAsia" w:hAnsiTheme="majorHAnsi" w:cstheme="majorBidi"/>
      <w:i/>
      <w:iCs/>
      <w:color w:val="274214" w:themeColor="accent1" w:themeShade="7F"/>
    </w:rPr>
  </w:style>
  <w:style w:type="paragraph" w:styleId="Kop8">
    <w:name w:val="heading 8"/>
    <w:basedOn w:val="Standaard"/>
    <w:next w:val="Standaard"/>
    <w:link w:val="Kop8Char"/>
    <w:uiPriority w:val="9"/>
    <w:unhideWhenUsed/>
    <w:qFormat/>
    <w:rsid w:val="005B487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5B487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487F"/>
    <w:rPr>
      <w:rFonts w:asciiTheme="majorHAnsi" w:eastAsiaTheme="majorEastAsia" w:hAnsiTheme="majorHAnsi" w:cstheme="majorBidi"/>
      <w:color w:val="3B641E" w:themeColor="accent1" w:themeShade="BF"/>
      <w:sz w:val="32"/>
      <w:szCs w:val="32"/>
    </w:rPr>
  </w:style>
  <w:style w:type="character" w:customStyle="1" w:styleId="Kop2Char">
    <w:name w:val="Kop 2 Char"/>
    <w:basedOn w:val="Standaardalinea-lettertype"/>
    <w:link w:val="Kop2"/>
    <w:uiPriority w:val="9"/>
    <w:rsid w:val="005B487F"/>
    <w:rPr>
      <w:rFonts w:asciiTheme="majorHAnsi" w:eastAsiaTheme="majorEastAsia" w:hAnsiTheme="majorHAnsi" w:cstheme="majorBidi"/>
      <w:color w:val="3B641E" w:themeColor="accent1" w:themeShade="BF"/>
      <w:sz w:val="26"/>
      <w:szCs w:val="26"/>
    </w:rPr>
  </w:style>
  <w:style w:type="character" w:customStyle="1" w:styleId="Kop3Char">
    <w:name w:val="Kop 3 Char"/>
    <w:basedOn w:val="Standaardalinea-lettertype"/>
    <w:link w:val="Kop3"/>
    <w:uiPriority w:val="9"/>
    <w:rsid w:val="005B487F"/>
    <w:rPr>
      <w:rFonts w:asciiTheme="majorHAnsi" w:eastAsiaTheme="majorEastAsia" w:hAnsiTheme="majorHAnsi" w:cstheme="majorBidi"/>
      <w:color w:val="274214" w:themeColor="accent1" w:themeShade="7F"/>
      <w:sz w:val="24"/>
      <w:szCs w:val="24"/>
    </w:rPr>
  </w:style>
  <w:style w:type="character" w:customStyle="1" w:styleId="Kop4Char">
    <w:name w:val="Kop 4 Char"/>
    <w:basedOn w:val="Standaardalinea-lettertype"/>
    <w:link w:val="Kop4"/>
    <w:uiPriority w:val="9"/>
    <w:rsid w:val="005B487F"/>
    <w:rPr>
      <w:rFonts w:asciiTheme="majorHAnsi" w:eastAsiaTheme="majorEastAsia" w:hAnsiTheme="majorHAnsi" w:cstheme="majorBidi"/>
      <w:i/>
      <w:iCs/>
      <w:color w:val="3B641E" w:themeColor="accent1" w:themeShade="BF"/>
    </w:rPr>
  </w:style>
  <w:style w:type="character" w:customStyle="1" w:styleId="Kop5Char">
    <w:name w:val="Kop 5 Char"/>
    <w:basedOn w:val="Standaardalinea-lettertype"/>
    <w:link w:val="Kop5"/>
    <w:uiPriority w:val="9"/>
    <w:rsid w:val="005B487F"/>
    <w:rPr>
      <w:rFonts w:asciiTheme="majorHAnsi" w:eastAsiaTheme="majorEastAsia" w:hAnsiTheme="majorHAnsi" w:cstheme="majorBidi"/>
      <w:color w:val="3B641E" w:themeColor="accent1" w:themeShade="BF"/>
    </w:rPr>
  </w:style>
  <w:style w:type="character" w:customStyle="1" w:styleId="Kop6Char">
    <w:name w:val="Kop 6 Char"/>
    <w:basedOn w:val="Standaardalinea-lettertype"/>
    <w:link w:val="Kop6"/>
    <w:uiPriority w:val="9"/>
    <w:rsid w:val="005B487F"/>
    <w:rPr>
      <w:rFonts w:asciiTheme="majorHAnsi" w:eastAsiaTheme="majorEastAsia" w:hAnsiTheme="majorHAnsi" w:cstheme="majorBidi"/>
      <w:color w:val="274214" w:themeColor="accent1" w:themeShade="7F"/>
    </w:rPr>
  </w:style>
  <w:style w:type="character" w:customStyle="1" w:styleId="Kop7Char">
    <w:name w:val="Kop 7 Char"/>
    <w:basedOn w:val="Standaardalinea-lettertype"/>
    <w:link w:val="Kop7"/>
    <w:uiPriority w:val="9"/>
    <w:rsid w:val="005B487F"/>
    <w:rPr>
      <w:rFonts w:asciiTheme="majorHAnsi" w:eastAsiaTheme="majorEastAsia" w:hAnsiTheme="majorHAnsi" w:cstheme="majorBidi"/>
      <w:i/>
      <w:iCs/>
      <w:color w:val="274214" w:themeColor="accent1" w:themeShade="7F"/>
    </w:rPr>
  </w:style>
  <w:style w:type="character" w:customStyle="1" w:styleId="Kop8Char">
    <w:name w:val="Kop 8 Char"/>
    <w:basedOn w:val="Standaardalinea-lettertype"/>
    <w:link w:val="Kop8"/>
    <w:uiPriority w:val="9"/>
    <w:rsid w:val="005B487F"/>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5B487F"/>
    <w:rPr>
      <w:rFonts w:asciiTheme="majorHAnsi" w:eastAsiaTheme="majorEastAsia" w:hAnsiTheme="majorHAnsi" w:cstheme="majorBidi"/>
      <w:i/>
      <w:iCs/>
      <w:color w:val="272727" w:themeColor="text1" w:themeTint="D8"/>
      <w:sz w:val="21"/>
      <w:szCs w:val="21"/>
    </w:rPr>
  </w:style>
  <w:style w:type="paragraph" w:styleId="Titel">
    <w:name w:val="Title"/>
    <w:basedOn w:val="Standaard"/>
    <w:next w:val="Standaard"/>
    <w:link w:val="TitelChar"/>
    <w:uiPriority w:val="10"/>
    <w:qFormat/>
    <w:rsid w:val="005B487F"/>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48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487F"/>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5B487F"/>
    <w:rPr>
      <w:rFonts w:eastAsiaTheme="minorEastAsia"/>
      <w:color w:val="5A5A5A" w:themeColor="text1" w:themeTint="A5"/>
      <w:spacing w:val="15"/>
    </w:rPr>
  </w:style>
  <w:style w:type="character" w:styleId="Zwaar">
    <w:name w:val="Strong"/>
    <w:basedOn w:val="Standaardalinea-lettertype"/>
    <w:uiPriority w:val="22"/>
    <w:qFormat/>
    <w:rsid w:val="005B487F"/>
    <w:rPr>
      <w:b/>
      <w:bCs/>
    </w:rPr>
  </w:style>
  <w:style w:type="character" w:styleId="Intensievebenadrukking">
    <w:name w:val="Intense Emphasis"/>
    <w:basedOn w:val="Standaardalinea-lettertype"/>
    <w:uiPriority w:val="21"/>
    <w:qFormat/>
    <w:rsid w:val="005B487F"/>
    <w:rPr>
      <w:i/>
      <w:iCs/>
      <w:color w:val="508729" w:themeColor="accent1"/>
    </w:rPr>
  </w:style>
  <w:style w:type="character" w:styleId="Nadruk">
    <w:name w:val="Emphasis"/>
    <w:basedOn w:val="Standaardalinea-lettertype"/>
    <w:uiPriority w:val="20"/>
    <w:qFormat/>
    <w:rsid w:val="005B487F"/>
    <w:rPr>
      <w:i/>
      <w:iCs/>
    </w:rPr>
  </w:style>
  <w:style w:type="character" w:styleId="Subtielebenadrukking">
    <w:name w:val="Subtle Emphasis"/>
    <w:basedOn w:val="Standaardalinea-lettertype"/>
    <w:uiPriority w:val="19"/>
    <w:qFormat/>
    <w:rsid w:val="005B487F"/>
    <w:rPr>
      <w:i/>
      <w:iCs/>
      <w:color w:val="404040" w:themeColor="text1" w:themeTint="BF"/>
    </w:rPr>
  </w:style>
  <w:style w:type="paragraph" w:styleId="Lijstalinea">
    <w:name w:val="List Paragraph"/>
    <w:basedOn w:val="Standaard"/>
    <w:uiPriority w:val="34"/>
    <w:qFormat/>
    <w:rsid w:val="00FF0439"/>
    <w:pPr>
      <w:ind w:left="720"/>
    </w:pPr>
  </w:style>
  <w:style w:type="paragraph" w:styleId="Duidelijkcitaat">
    <w:name w:val="Intense Quote"/>
    <w:basedOn w:val="Standaard"/>
    <w:next w:val="Standaard"/>
    <w:link w:val="DuidelijkcitaatChar"/>
    <w:uiPriority w:val="30"/>
    <w:qFormat/>
    <w:rsid w:val="005B487F"/>
    <w:pPr>
      <w:pBdr>
        <w:top w:val="single" w:sz="4" w:space="10" w:color="508729" w:themeColor="accent1"/>
        <w:bottom w:val="single" w:sz="4" w:space="10" w:color="508729" w:themeColor="accent1"/>
      </w:pBdr>
      <w:spacing w:before="360" w:after="360"/>
      <w:ind w:left="864" w:right="864"/>
      <w:jc w:val="center"/>
    </w:pPr>
    <w:rPr>
      <w:i/>
      <w:iCs/>
      <w:color w:val="508729" w:themeColor="accent1"/>
    </w:rPr>
  </w:style>
  <w:style w:type="character" w:customStyle="1" w:styleId="DuidelijkcitaatChar">
    <w:name w:val="Duidelijk citaat Char"/>
    <w:basedOn w:val="Standaardalinea-lettertype"/>
    <w:link w:val="Duidelijkcitaat"/>
    <w:uiPriority w:val="30"/>
    <w:rsid w:val="005B487F"/>
    <w:rPr>
      <w:i/>
      <w:iCs/>
      <w:color w:val="508729" w:themeColor="accent1"/>
    </w:rPr>
  </w:style>
  <w:style w:type="paragraph" w:styleId="Citaat">
    <w:name w:val="Quote"/>
    <w:basedOn w:val="Standaard"/>
    <w:next w:val="Standaard"/>
    <w:link w:val="CitaatChar"/>
    <w:uiPriority w:val="29"/>
    <w:qFormat/>
    <w:rsid w:val="005B487F"/>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5B487F"/>
    <w:rPr>
      <w:i/>
      <w:iCs/>
      <w:color w:val="404040" w:themeColor="text1" w:themeTint="BF"/>
    </w:rPr>
  </w:style>
  <w:style w:type="character" w:styleId="Subtieleverwijzing">
    <w:name w:val="Subtle Reference"/>
    <w:basedOn w:val="Standaardalinea-lettertype"/>
    <w:uiPriority w:val="31"/>
    <w:qFormat/>
    <w:rsid w:val="005B487F"/>
    <w:rPr>
      <w:smallCaps/>
      <w:color w:val="5A5A5A" w:themeColor="text1" w:themeTint="A5"/>
    </w:rPr>
  </w:style>
  <w:style w:type="character" w:styleId="Intensieveverwijzing">
    <w:name w:val="Intense Reference"/>
    <w:basedOn w:val="Standaardalinea-lettertype"/>
    <w:uiPriority w:val="32"/>
    <w:qFormat/>
    <w:rsid w:val="005B487F"/>
    <w:rPr>
      <w:b/>
      <w:bCs/>
      <w:smallCaps/>
      <w:color w:val="508729" w:themeColor="accent1"/>
      <w:spacing w:val="5"/>
    </w:rPr>
  </w:style>
  <w:style w:type="character" w:styleId="Titelvanboek">
    <w:name w:val="Book Title"/>
    <w:basedOn w:val="Standaardalinea-lettertype"/>
    <w:uiPriority w:val="33"/>
    <w:qFormat/>
    <w:rsid w:val="005B487F"/>
    <w:rPr>
      <w:b/>
      <w:bCs/>
      <w:i/>
      <w:iCs/>
      <w:spacing w:val="5"/>
    </w:rPr>
  </w:style>
  <w:style w:type="paragraph" w:styleId="Geenafstand">
    <w:name w:val="No Spacing"/>
    <w:uiPriority w:val="1"/>
    <w:qFormat/>
    <w:rsid w:val="005B487F"/>
    <w:pPr>
      <w:spacing w:after="0" w:line="240" w:lineRule="auto"/>
    </w:pPr>
  </w:style>
  <w:style w:type="table" w:styleId="Tabelraster">
    <w:name w:val="Table Grid"/>
    <w:basedOn w:val="Standaardtabel"/>
    <w:uiPriority w:val="59"/>
    <w:rsid w:val="0046299B"/>
    <w:pPr>
      <w:spacing w:after="0" w:line="240" w:lineRule="auto"/>
    </w:pPr>
    <w:rPr>
      <w:rFonts w:ascii="Times New Roman" w:eastAsia="Times New Roman" w:hAnsi="Times New Roman" w:cs="Times New Roman"/>
      <w:kern w:val="0"/>
      <w:sz w:val="20"/>
      <w:szCs w:val="20"/>
      <w:lang w:eastAsia="nl-B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tekst">
    <w:name w:val="header"/>
    <w:basedOn w:val="Standaard"/>
    <w:link w:val="KoptekstChar"/>
    <w:uiPriority w:val="99"/>
    <w:unhideWhenUsed/>
    <w:rsid w:val="0046299B"/>
    <w:pPr>
      <w:tabs>
        <w:tab w:val="center" w:pos="4536"/>
        <w:tab w:val="right" w:pos="9072"/>
      </w:tabs>
    </w:pPr>
  </w:style>
  <w:style w:type="character" w:customStyle="1" w:styleId="KoptekstChar">
    <w:name w:val="Koptekst Char"/>
    <w:basedOn w:val="Standaardalinea-lettertype"/>
    <w:link w:val="Koptekst"/>
    <w:uiPriority w:val="99"/>
    <w:rsid w:val="0046299B"/>
    <w:rPr>
      <w:rFonts w:ascii="Arial" w:eastAsia="Times New Roman" w:hAnsi="Arial" w:cs="Times New Roman"/>
      <w:kern w:val="0"/>
      <w:szCs w:val="24"/>
      <w:lang w:val="nl-NL" w:eastAsia="nl-NL"/>
      <w14:ligatures w14:val="none"/>
    </w:rPr>
  </w:style>
  <w:style w:type="paragraph" w:styleId="Voettekst">
    <w:name w:val="footer"/>
    <w:basedOn w:val="Standaard"/>
    <w:link w:val="VoettekstChar"/>
    <w:uiPriority w:val="99"/>
    <w:unhideWhenUsed/>
    <w:rsid w:val="0046299B"/>
    <w:pPr>
      <w:tabs>
        <w:tab w:val="center" w:pos="4536"/>
        <w:tab w:val="right" w:pos="9072"/>
      </w:tabs>
    </w:pPr>
  </w:style>
  <w:style w:type="character" w:customStyle="1" w:styleId="VoettekstChar">
    <w:name w:val="Voettekst Char"/>
    <w:basedOn w:val="Standaardalinea-lettertype"/>
    <w:link w:val="Voettekst"/>
    <w:uiPriority w:val="99"/>
    <w:rsid w:val="0046299B"/>
    <w:rPr>
      <w:rFonts w:ascii="Arial" w:eastAsia="Times New Roman" w:hAnsi="Arial" w:cs="Times New Roman"/>
      <w:kern w:val="0"/>
      <w:szCs w:val="24"/>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Bachelorproef">
      <a:dk1>
        <a:sysClr val="windowText" lastClr="000000"/>
      </a:dk1>
      <a:lt1>
        <a:sysClr val="window" lastClr="FFFFFF"/>
      </a:lt1>
      <a:dk2>
        <a:srgbClr val="737373"/>
      </a:dk2>
      <a:lt2>
        <a:srgbClr val="F2F2F2"/>
      </a:lt2>
      <a:accent1>
        <a:srgbClr val="508729"/>
      </a:accent1>
      <a:accent2>
        <a:srgbClr val="7CA55F"/>
      </a:accent2>
      <a:accent3>
        <a:srgbClr val="A7C394"/>
      </a:accent3>
      <a:accent4>
        <a:srgbClr val="D4E1CA"/>
      </a:accent4>
      <a:accent5>
        <a:srgbClr val="0F9ED5"/>
      </a:accent5>
      <a:accent6>
        <a:srgbClr val="A02B93"/>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2154</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 Beckers</dc:creator>
  <cp:keywords/>
  <dc:description/>
  <cp:lastModifiedBy>Noa Beckers</cp:lastModifiedBy>
  <cp:revision>20</cp:revision>
  <cp:lastPrinted>2026-05-24T10:21:00Z</cp:lastPrinted>
  <dcterms:created xsi:type="dcterms:W3CDTF">2026-05-03T14:57:00Z</dcterms:created>
  <dcterms:modified xsi:type="dcterms:W3CDTF">2026-05-26T08:24:00Z</dcterms:modified>
</cp:coreProperties>
</file>